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
        <w:ind w:left="1104"/>
        <w:jc w:val="both"/>
        <w:rPr>
          <w:rFonts w:hint="eastAsia" w:ascii="微软雅黑" w:hAnsi="微软雅黑" w:eastAsia="微软雅黑" w:cs="微软雅黑"/>
          <w:b/>
          <w:color w:val="006394"/>
          <w:w w:val="105"/>
          <w:sz w:val="32"/>
          <w:szCs w:val="32"/>
          <w:lang w:eastAsia="zh-CN"/>
        </w:rPr>
      </w:pPr>
      <w:r>
        <w:rPr>
          <w:rFonts w:hint="eastAsia" w:ascii="微软雅黑" w:hAnsi="微软雅黑" w:eastAsia="微软雅黑" w:cs="微软雅黑"/>
          <w:b/>
          <w:color w:val="006394"/>
          <w:w w:val="105"/>
          <w:sz w:val="32"/>
          <w:szCs w:val="32"/>
          <w:lang w:eastAsia="zh-CN"/>
        </w:rPr>
        <w:t>品牌介绍</w:t>
      </w:r>
    </w:p>
    <w:p>
      <w:pPr>
        <w:pStyle w:val="2"/>
        <w:spacing w:before="101" w:line="252" w:lineRule="auto"/>
        <w:ind w:right="691"/>
        <w:rPr>
          <w:rFonts w:hint="eastAsia" w:ascii="微软雅黑" w:hAnsi="微软雅黑" w:eastAsia="微软雅黑" w:cs="微软雅黑"/>
          <w:color w:val="231F20"/>
          <w:sz w:val="22"/>
          <w:szCs w:val="22"/>
          <w:lang w:val="en-US" w:eastAsia="zh-CN" w:bidi="en-US"/>
        </w:rPr>
      </w:pPr>
      <w:r>
        <w:rPr>
          <w:rFonts w:hint="eastAsia" w:ascii="微软雅黑" w:hAnsi="微软雅黑" w:eastAsia="微软雅黑" w:cs="微软雅黑"/>
          <w:color w:val="231F20"/>
          <w:sz w:val="22"/>
          <w:szCs w:val="22"/>
          <w:lang w:val="en-US" w:eastAsia="zh-CN" w:bidi="en-US"/>
        </w:rPr>
        <w:t>上海慕溯工业设备有限公司成立于2012年，是专业的从事环境与可靠性试验设备及实验室仪器,真空烤箱等专业设备，烘烤制程设备等产品专业供应商，由一批多年从事环境试验设备、真空干燥设备等行业的专业工程技术人员为核心，具有设计、制造、销售及售后服务能力的综合性企业。企业先后获得了ISO1400体系认证，及ISO9001认证</w:t>
      </w:r>
    </w:p>
    <w:p>
      <w:pPr>
        <w:pStyle w:val="2"/>
        <w:spacing w:before="101" w:line="252" w:lineRule="auto"/>
        <w:ind w:right="691"/>
        <w:rPr>
          <w:rFonts w:hint="eastAsia" w:ascii="微软雅黑" w:hAnsi="微软雅黑" w:eastAsia="微软雅黑" w:cs="微软雅黑"/>
          <w:color w:val="231F20"/>
          <w:sz w:val="22"/>
          <w:szCs w:val="22"/>
          <w:lang w:val="en-US" w:eastAsia="zh-CN" w:bidi="en-US"/>
        </w:rPr>
      </w:pPr>
      <w:r>
        <w:rPr>
          <w:rFonts w:hint="eastAsia" w:ascii="微软雅黑" w:hAnsi="微软雅黑" w:eastAsia="微软雅黑" w:cs="微软雅黑"/>
          <w:color w:val="231F20"/>
          <w:sz w:val="22"/>
          <w:szCs w:val="22"/>
          <w:lang w:val="en-US" w:eastAsia="zh-CN" w:bidi="en-US"/>
        </w:rPr>
        <w:t>经过不断发展以满足当今全球市场的复杂需求，但慕溯工业致力于提供创新的热处理解决方案仍然保持不变。在电子电器，航空航天，医疗保健，材料，半导体集成电路等市场的专注使慕溯工业成为这些行业的专家。</w:t>
      </w:r>
    </w:p>
    <w:p>
      <w:pPr>
        <w:pStyle w:val="4"/>
        <w:spacing w:before="9"/>
        <w:rPr>
          <w:sz w:val="27"/>
        </w:rPr>
      </w:pPr>
    </w:p>
    <w:p>
      <w:pPr>
        <w:spacing w:before="1"/>
        <w:ind w:left="1104"/>
        <w:jc w:val="both"/>
        <w:rPr>
          <w:rFonts w:hint="eastAsia" w:eastAsia="微软雅黑"/>
          <w:b/>
          <w:sz w:val="32"/>
          <w:szCs w:val="32"/>
          <w:lang w:eastAsia="zh-CN"/>
        </w:rPr>
      </w:pPr>
      <w:r>
        <w:rPr>
          <w:rFonts w:hint="eastAsia" w:ascii="微软雅黑" w:hAnsi="微软雅黑" w:eastAsia="微软雅黑" w:cs="微软雅黑"/>
          <w:b/>
          <w:color w:val="006394"/>
          <w:w w:val="105"/>
          <w:sz w:val="32"/>
          <w:szCs w:val="32"/>
          <w:lang w:eastAsia="zh-CN"/>
        </w:rPr>
        <w:t>优质的零部件供应商</w:t>
      </w:r>
    </w:p>
    <w:p>
      <w:pPr>
        <w:pStyle w:val="2"/>
        <w:spacing w:before="101" w:line="252" w:lineRule="auto"/>
        <w:ind w:right="691"/>
        <w:rPr>
          <w:rFonts w:hint="eastAsia" w:ascii="微软雅黑" w:hAnsi="微软雅黑" w:eastAsia="微软雅黑" w:cs="微软雅黑"/>
          <w:color w:val="231F20"/>
          <w:sz w:val="22"/>
          <w:szCs w:val="22"/>
          <w:lang w:val="en-US" w:eastAsia="zh-CN" w:bidi="en-US"/>
        </w:rPr>
      </w:pPr>
      <w:r>
        <w:rPr>
          <w:rFonts w:hint="eastAsia" w:ascii="微软雅黑" w:hAnsi="微软雅黑" w:eastAsia="微软雅黑" w:cs="微软雅黑"/>
          <w:color w:val="231F20"/>
          <w:sz w:val="22"/>
          <w:szCs w:val="22"/>
          <w:lang w:val="en-US" w:eastAsia="zh-CN" w:bidi="en-US"/>
        </w:rPr>
        <w:t>慕溯工业设备所用的生产设备及其关键部件，均采用国内外一线零部件供应商，以保证设备完美运行并确保设备的可靠性和安全性。在生产制造环节我们从不偷工减料，并按照最高标准制造。来保证其坚固的构造质量，和恒定的均匀温度，高于行业的使用寿命</w:t>
      </w:r>
    </w:p>
    <w:p>
      <w:pPr>
        <w:pStyle w:val="4"/>
        <w:spacing w:before="5"/>
        <w:rPr>
          <w:sz w:val="25"/>
        </w:rPr>
      </w:pPr>
    </w:p>
    <w:p>
      <w:pPr>
        <w:spacing w:before="1"/>
        <w:ind w:left="1104"/>
        <w:jc w:val="both"/>
        <w:rPr>
          <w:rFonts w:hint="eastAsia" w:ascii="微软雅黑" w:hAnsi="微软雅黑" w:eastAsia="微软雅黑" w:cs="微软雅黑"/>
          <w:b/>
          <w:color w:val="006394"/>
          <w:w w:val="105"/>
          <w:sz w:val="32"/>
          <w:szCs w:val="32"/>
          <w:lang w:eastAsia="zh-CN"/>
        </w:rPr>
      </w:pPr>
      <w:r>
        <w:rPr>
          <w:rFonts w:hint="eastAsia" w:ascii="微软雅黑" w:hAnsi="微软雅黑" w:eastAsia="微软雅黑" w:cs="微软雅黑"/>
          <w:b/>
          <w:color w:val="006394"/>
          <w:w w:val="105"/>
          <w:sz w:val="32"/>
          <w:szCs w:val="32"/>
          <w:lang w:eastAsia="zh-CN"/>
        </w:rPr>
        <w:t>产品和服务</w:t>
      </w:r>
    </w:p>
    <w:p>
      <w:pPr>
        <w:spacing w:before="144" w:line="252" w:lineRule="auto"/>
        <w:ind w:left="1104" w:right="32"/>
        <w:rPr>
          <w:rFonts w:hint="eastAsia" w:ascii="微软雅黑" w:hAnsi="微软雅黑" w:eastAsia="微软雅黑" w:cs="微软雅黑"/>
          <w:color w:val="231F20"/>
          <w:sz w:val="22"/>
          <w:szCs w:val="22"/>
          <w:lang w:val="en-US" w:eastAsia="zh-CN" w:bidi="en-US"/>
        </w:rPr>
      </w:pPr>
      <w:r>
        <w:rPr>
          <w:rFonts w:hint="eastAsia" w:ascii="微软雅黑" w:hAnsi="微软雅黑" w:eastAsia="微软雅黑" w:cs="微软雅黑"/>
          <w:color w:val="231F20"/>
          <w:sz w:val="22"/>
          <w:szCs w:val="22"/>
          <w:lang w:val="en-US" w:eastAsia="zh-CN" w:bidi="en-US"/>
        </w:rPr>
        <w:t>我们坚持“互联网思维，高品质服务”发展思路，坚守“换位思考，简洁美观，贴心易用，客户至上”的产品理念，围绕可持续发展，尊重人才，坚持创新，以优质产品和不竭的品质追求。每一个产品都以严格的反复验证，及制造实践，慕溯工业能够更快地将产品推向市场，从而为我们的行业提供最短的交付周期。目前慕溯工业拥有遍布全球的销售和售后服务网络结合技术和行业知识，帮助您选择最符合您要求的热处理及温湿度和真空控制解决方案，并为客户提供全面的非标产品定制化服务</w:t>
      </w:r>
    </w:p>
    <w:p>
      <w:pPr>
        <w:spacing w:before="144" w:line="252" w:lineRule="auto"/>
        <w:ind w:left="1104" w:right="32"/>
        <w:rPr>
          <w:rFonts w:hint="eastAsia" w:ascii="微软雅黑" w:hAnsi="微软雅黑" w:eastAsia="微软雅黑" w:cs="微软雅黑"/>
          <w:color w:val="231F20"/>
          <w:sz w:val="22"/>
          <w:szCs w:val="22"/>
          <w:lang w:val="en-US" w:eastAsia="zh-CN" w:bidi="en-US"/>
        </w:rPr>
      </w:pPr>
    </w:p>
    <w:p>
      <w:pPr>
        <w:pStyle w:val="4"/>
        <w:rPr>
          <w:sz w:val="28"/>
        </w:rPr>
      </w:pPr>
      <w:r>
        <w:rPr>
          <w:rFonts w:hint="eastAsia" w:ascii="微软雅黑" w:hAnsi="微软雅黑" w:eastAsia="微软雅黑" w:cs="微软雅黑"/>
          <w:color w:val="006394"/>
          <w:w w:val="90"/>
          <w:lang w:eastAsia="zh-CN"/>
        </w:rPr>
        <w:drawing>
          <wp:anchor distT="0" distB="0" distL="0" distR="0" simplePos="0" relativeHeight="251656192" behindDoc="0" locked="0" layoutInCell="1" allowOverlap="1">
            <wp:simplePos x="0" y="0"/>
            <wp:positionH relativeFrom="page">
              <wp:posOffset>7429500</wp:posOffset>
            </wp:positionH>
            <wp:positionV relativeFrom="paragraph">
              <wp:posOffset>-7077075</wp:posOffset>
            </wp:positionV>
            <wp:extent cx="2159000" cy="1261110"/>
            <wp:effectExtent l="0" t="0" r="5080" b="3810"/>
            <wp:wrapNone/>
            <wp:docPr id="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9.jpeg"/>
                    <pic:cNvPicPr>
                      <a:picLocks noChangeAspect="1"/>
                    </pic:cNvPicPr>
                  </pic:nvPicPr>
                  <pic:blipFill>
                    <a:blip r:embed="rId4" cstate="print"/>
                    <a:stretch>
                      <a:fillRect/>
                    </a:stretch>
                  </pic:blipFill>
                  <pic:spPr>
                    <a:xfrm>
                      <a:off x="0" y="0"/>
                      <a:ext cx="2159000" cy="1261109"/>
                    </a:xfrm>
                    <a:prstGeom prst="rect">
                      <a:avLst/>
                    </a:prstGeom>
                  </pic:spPr>
                </pic:pic>
              </a:graphicData>
            </a:graphic>
          </wp:anchor>
        </w:drawing>
      </w:r>
      <w:r>
        <w:br w:type="column"/>
      </w:r>
    </w:p>
    <w:p>
      <w:pPr>
        <w:pStyle w:val="4"/>
        <w:rPr>
          <w:sz w:val="28"/>
        </w:rPr>
      </w:pPr>
    </w:p>
    <w:p>
      <w:pPr>
        <w:pStyle w:val="4"/>
        <w:rPr>
          <w:sz w:val="28"/>
        </w:rPr>
      </w:pPr>
    </w:p>
    <w:p>
      <w:pPr>
        <w:pStyle w:val="4"/>
        <w:spacing w:before="2"/>
        <w:rPr>
          <w:sz w:val="25"/>
        </w:rPr>
      </w:pPr>
    </w:p>
    <w:p>
      <w:pPr>
        <w:pStyle w:val="3"/>
        <w:ind w:left="1106"/>
        <w:rPr>
          <w:rFonts w:hint="eastAsia" w:ascii="微软雅黑" w:hAnsi="微软雅黑" w:eastAsia="微软雅黑" w:cs="微软雅黑"/>
          <w:color w:val="006394"/>
          <w:w w:val="90"/>
        </w:rPr>
      </w:pPr>
    </w:p>
    <w:p>
      <w:pPr>
        <w:pStyle w:val="3"/>
        <w:ind w:left="1106"/>
        <w:rPr>
          <w:rFonts w:hint="eastAsia" w:eastAsia="微软雅黑"/>
          <w:lang w:eastAsia="zh-CN"/>
        </w:rPr>
      </w:pPr>
      <w:r>
        <w:rPr>
          <w:rFonts w:hint="eastAsia" w:ascii="微软雅黑" w:hAnsi="微软雅黑" w:eastAsia="微软雅黑" w:cs="微软雅黑"/>
          <w:color w:val="006394"/>
          <w:w w:val="90"/>
          <w:lang w:eastAsia="zh-CN"/>
        </w:rPr>
        <w:t>半导体集成电路应用</w:t>
      </w:r>
    </w:p>
    <w:p>
      <w:pPr>
        <w:pStyle w:val="4"/>
        <w:spacing w:before="132" w:line="232" w:lineRule="auto"/>
        <w:ind w:left="1104" w:right="661"/>
      </w:pPr>
      <w:bookmarkStart w:id="0" w:name="_GoBack"/>
      <w:r>
        <w:rPr>
          <w:lang w:eastAsia="zh-CN" w:bidi="ar-SA"/>
        </w:rPr>
        <w:drawing>
          <wp:anchor distT="0" distB="0" distL="0" distR="0" simplePos="0" relativeHeight="251655168" behindDoc="0" locked="0" layoutInCell="1" allowOverlap="1">
            <wp:simplePos x="0" y="0"/>
            <wp:positionH relativeFrom="page">
              <wp:posOffset>7429500</wp:posOffset>
            </wp:positionH>
            <wp:positionV relativeFrom="paragraph">
              <wp:posOffset>1432560</wp:posOffset>
            </wp:positionV>
            <wp:extent cx="2160270" cy="1309370"/>
            <wp:effectExtent l="0" t="0" r="3810" b="1270"/>
            <wp:wrapTopAndBottom/>
            <wp:docPr id="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jpeg"/>
                    <pic:cNvPicPr>
                      <a:picLocks noChangeAspect="1"/>
                    </pic:cNvPicPr>
                  </pic:nvPicPr>
                  <pic:blipFill>
                    <a:blip r:embed="rId5" cstate="print"/>
                    <a:stretch>
                      <a:fillRect/>
                    </a:stretch>
                  </pic:blipFill>
                  <pic:spPr>
                    <a:xfrm>
                      <a:off x="0" y="0"/>
                      <a:ext cx="2160196" cy="1309306"/>
                    </a:xfrm>
                    <a:prstGeom prst="rect">
                      <a:avLst/>
                    </a:prstGeom>
                  </pic:spPr>
                </pic:pic>
              </a:graphicData>
            </a:graphic>
          </wp:anchor>
        </w:drawing>
      </w:r>
      <w:bookmarkEnd w:id="0"/>
      <w:r>
        <w:rPr>
          <w:rFonts w:hint="eastAsia" w:ascii="微软雅黑" w:hAnsi="微软雅黑" w:eastAsia="微软雅黑" w:cs="微软雅黑"/>
          <w:color w:val="231F20"/>
          <w:w w:val="105"/>
          <w:lang w:val="en-US" w:eastAsia="zh-CN"/>
        </w:rPr>
        <w:t>SEM系列烘烤制程设备具有先进的</w:t>
      </w:r>
      <w:r>
        <w:rPr>
          <w:rFonts w:hint="eastAsia" w:ascii="微软雅黑" w:hAnsi="微软雅黑" w:eastAsia="微软雅黑" w:cs="微软雅黑"/>
          <w:color w:val="231F20"/>
          <w:w w:val="105"/>
        </w:rPr>
        <w:t>清洁工艺，低氧，快速循环固化粘合剂和聚合物的大批量半导体封装和组装。应用包括晶圆级老化，芯片粘接</w:t>
      </w:r>
      <w:r>
        <w:rPr>
          <w:rFonts w:hint="eastAsia" w:ascii="微软雅黑" w:hAnsi="微软雅黑" w:eastAsia="微软雅黑" w:cs="微软雅黑"/>
          <w:color w:val="231F20"/>
          <w:w w:val="105"/>
          <w:lang w:val="en-US" w:eastAsia="zh-CN"/>
        </w:rPr>
        <w:t>，酰亚胺胶保护引线与芯片键合</w:t>
      </w:r>
      <w:r>
        <w:rPr>
          <w:rFonts w:hint="eastAsia" w:ascii="微软雅黑" w:hAnsi="微软雅黑" w:eastAsia="微软雅黑" w:cs="微软雅黑"/>
          <w:color w:val="231F20"/>
          <w:w w:val="105"/>
        </w:rPr>
        <w:t>固化，老化和可靠性测试。</w:t>
      </w:r>
    </w:p>
    <w:p>
      <w:pPr>
        <w:pStyle w:val="4"/>
        <w:spacing w:before="2"/>
        <w:rPr>
          <w:sz w:val="9"/>
        </w:rPr>
      </w:pPr>
    </w:p>
    <w:p>
      <w:pPr>
        <w:pStyle w:val="4"/>
        <w:spacing w:before="154" w:line="232" w:lineRule="auto"/>
        <w:ind w:left="1104" w:right="661"/>
        <w:sectPr>
          <w:pgSz w:w="15840" w:h="12240" w:orient="landscape"/>
          <w:pgMar w:top="1140" w:right="0" w:bottom="280" w:left="0" w:header="720" w:footer="720" w:gutter="0"/>
          <w:cols w:equalWidth="0" w:num="2">
            <w:col w:w="9804" w:space="792"/>
            <w:col w:w="5244"/>
          </w:cols>
        </w:sectPr>
      </w:pPr>
      <w:r>
        <w:rPr>
          <w:rFonts w:hint="eastAsia" w:ascii="微软雅黑" w:hAnsi="微软雅黑" w:eastAsia="微软雅黑" w:cs="微软雅黑"/>
          <w:color w:val="231F20"/>
          <w:lang w:val="en-US" w:eastAsia="zh-CN"/>
        </w:rPr>
        <w:t>VAC系列真空制程设备，</w:t>
      </w:r>
      <w:r>
        <w:rPr>
          <w:rFonts w:hint="eastAsia" w:ascii="微软雅黑" w:hAnsi="微软雅黑" w:eastAsia="微软雅黑" w:cs="微软雅黑"/>
          <w:color w:val="231F20"/>
          <w:lang w:eastAsia="zh-CN"/>
        </w:rPr>
        <w:t>目前我们</w:t>
      </w:r>
      <w:r>
        <w:rPr>
          <w:rFonts w:hint="eastAsia" w:ascii="微软雅黑" w:hAnsi="微软雅黑" w:eastAsia="微软雅黑" w:cs="微软雅黑"/>
          <w:color w:val="231F20"/>
        </w:rPr>
        <w:t>已经成功解决了电容器，电阻器和其他电子元件热处理的许多技术挑战。应用包括</w:t>
      </w:r>
      <w:r>
        <w:rPr>
          <w:rFonts w:hint="eastAsia" w:ascii="微软雅黑" w:hAnsi="微软雅黑" w:eastAsia="微软雅黑" w:cs="微软雅黑"/>
          <w:color w:val="231F20"/>
          <w:lang w:eastAsia="zh-CN"/>
        </w:rPr>
        <w:t>低温</w:t>
      </w:r>
      <w:r>
        <w:rPr>
          <w:rFonts w:hint="eastAsia" w:ascii="微软雅黑" w:hAnsi="微软雅黑" w:eastAsia="微软雅黑" w:cs="微软雅黑"/>
          <w:color w:val="231F20"/>
        </w:rPr>
        <w:t>干燥，</w:t>
      </w:r>
      <w:r>
        <w:rPr>
          <w:rFonts w:hint="eastAsia" w:ascii="微软雅黑" w:hAnsi="微软雅黑" w:eastAsia="微软雅黑" w:cs="微软雅黑"/>
          <w:color w:val="231F20"/>
          <w:lang w:eastAsia="zh-CN"/>
        </w:rPr>
        <w:t>液晶面板脱泡，靶材真空水分解析处理，</w:t>
      </w:r>
      <w:r>
        <w:rPr>
          <w:rFonts w:hint="eastAsia" w:ascii="微软雅黑" w:hAnsi="微软雅黑" w:eastAsia="微软雅黑" w:cs="微软雅黑"/>
          <w:color w:val="231F20"/>
        </w:rPr>
        <w:t>热解，固化和陶瓷电容器烘烤</w:t>
      </w:r>
      <w:r>
        <w:rPr>
          <w:rFonts w:hint="eastAsia" w:ascii="微软雅黑" w:hAnsi="微软雅黑" w:eastAsia="微软雅黑" w:cs="微软雅黑"/>
          <w:color w:val="231F20"/>
          <w:lang w:eastAsia="zh-CN"/>
        </w:rPr>
        <w:t>，应力消除，</w:t>
      </w:r>
      <w:r>
        <w:rPr>
          <w:rFonts w:hint="eastAsia" w:ascii="微软雅黑" w:hAnsi="微软雅黑" w:eastAsia="微软雅黑" w:cs="微软雅黑"/>
          <w:color w:val="231F20"/>
          <w:lang w:val="en-US" w:eastAsia="zh-CN"/>
        </w:rPr>
        <w:t>HMDS</w:t>
      </w:r>
      <w:r>
        <w:rPr>
          <w:rFonts w:hint="eastAsia" w:ascii="微软雅黑" w:hAnsi="微软雅黑" w:eastAsia="微软雅黑" w:cs="微软雅黑"/>
          <w:color w:val="231F20"/>
          <w:lang w:eastAsia="zh-CN"/>
        </w:rPr>
        <w:t>晶片气相涂布等应用</w:t>
      </w:r>
    </w:p>
    <w:p>
      <w:pPr>
        <w:tabs>
          <w:tab w:val="left" w:pos="4380"/>
          <w:tab w:val="left" w:pos="8040"/>
          <w:tab w:val="left" w:pos="11700"/>
        </w:tabs>
        <w:ind w:left="720"/>
        <w:rPr>
          <w:sz w:val="20"/>
        </w:rPr>
      </w:pPr>
      <w:r>
        <w:rPr>
          <w:position w:val="4"/>
          <w:sz w:val="20"/>
          <w:lang w:eastAsia="zh-CN" w:bidi="ar-SA"/>
        </w:rPr>
        <w:drawing>
          <wp:inline distT="0" distB="0" distL="0" distR="0">
            <wp:extent cx="2158365" cy="1241425"/>
            <wp:effectExtent l="0" t="0" r="5715" b="8255"/>
            <wp:docPr id="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1.jpeg"/>
                    <pic:cNvPicPr>
                      <a:picLocks noChangeAspect="1"/>
                    </pic:cNvPicPr>
                  </pic:nvPicPr>
                  <pic:blipFill>
                    <a:blip r:embed="rId6" cstate="print"/>
                    <a:stretch>
                      <a:fillRect/>
                    </a:stretch>
                  </pic:blipFill>
                  <pic:spPr>
                    <a:xfrm>
                      <a:off x="0" y="0"/>
                      <a:ext cx="2158897" cy="1241583"/>
                    </a:xfrm>
                    <a:prstGeom prst="rect">
                      <a:avLst/>
                    </a:prstGeom>
                  </pic:spPr>
                </pic:pic>
              </a:graphicData>
            </a:graphic>
          </wp:inline>
        </w:drawing>
      </w:r>
      <w:r>
        <w:rPr>
          <w:position w:val="4"/>
          <w:sz w:val="20"/>
        </w:rPr>
        <w:tab/>
      </w:r>
      <w:r>
        <w:rPr>
          <w:sz w:val="20"/>
          <w:lang w:eastAsia="zh-CN" w:bidi="ar-SA"/>
        </w:rPr>
        <w:drawing>
          <wp:inline distT="0" distB="0" distL="0" distR="0">
            <wp:extent cx="2178050" cy="1264920"/>
            <wp:effectExtent l="0" t="0" r="1270" b="0"/>
            <wp:docPr id="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2.jpeg"/>
                    <pic:cNvPicPr>
                      <a:picLocks noChangeAspect="1"/>
                    </pic:cNvPicPr>
                  </pic:nvPicPr>
                  <pic:blipFill>
                    <a:blip r:embed="rId7" cstate="print"/>
                    <a:stretch>
                      <a:fillRect/>
                    </a:stretch>
                  </pic:blipFill>
                  <pic:spPr>
                    <a:xfrm>
                      <a:off x="0" y="0"/>
                      <a:ext cx="2178473" cy="1264920"/>
                    </a:xfrm>
                    <a:prstGeom prst="rect">
                      <a:avLst/>
                    </a:prstGeom>
                  </pic:spPr>
                </pic:pic>
              </a:graphicData>
            </a:graphic>
          </wp:inline>
        </w:drawing>
      </w:r>
      <w:r>
        <w:rPr>
          <w:sz w:val="20"/>
        </w:rPr>
        <w:tab/>
      </w:r>
      <w:r>
        <w:rPr>
          <w:position w:val="4"/>
          <w:sz w:val="20"/>
          <w:lang w:eastAsia="zh-CN" w:bidi="ar-SA"/>
        </w:rPr>
        <w:drawing>
          <wp:inline distT="0" distB="0" distL="0" distR="0">
            <wp:extent cx="2145030" cy="1241425"/>
            <wp:effectExtent l="0" t="0" r="3810" b="8255"/>
            <wp:docPr id="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jpeg"/>
                    <pic:cNvPicPr>
                      <a:picLocks noChangeAspect="1"/>
                    </pic:cNvPicPr>
                  </pic:nvPicPr>
                  <pic:blipFill>
                    <a:blip r:embed="rId8" cstate="print"/>
                    <a:stretch>
                      <a:fillRect/>
                    </a:stretch>
                  </pic:blipFill>
                  <pic:spPr>
                    <a:xfrm>
                      <a:off x="0" y="0"/>
                      <a:ext cx="2145598" cy="1241583"/>
                    </a:xfrm>
                    <a:prstGeom prst="rect">
                      <a:avLst/>
                    </a:prstGeom>
                  </pic:spPr>
                </pic:pic>
              </a:graphicData>
            </a:graphic>
          </wp:inline>
        </w:drawing>
      </w:r>
      <w:r>
        <w:rPr>
          <w:position w:val="4"/>
          <w:sz w:val="20"/>
        </w:rPr>
        <w:tab/>
      </w:r>
      <w:r>
        <w:rPr>
          <w:position w:val="1"/>
          <w:sz w:val="20"/>
          <w:lang w:eastAsia="zh-CN" w:bidi="ar-SA"/>
        </w:rPr>
        <w:drawing>
          <wp:inline distT="0" distB="0" distL="0" distR="0">
            <wp:extent cx="2140585" cy="1256030"/>
            <wp:effectExtent l="0" t="0" r="8255" b="8890"/>
            <wp:docPr id="1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jpeg"/>
                    <pic:cNvPicPr>
                      <a:picLocks noChangeAspect="1"/>
                    </pic:cNvPicPr>
                  </pic:nvPicPr>
                  <pic:blipFill>
                    <a:blip r:embed="rId9" cstate="print"/>
                    <a:stretch>
                      <a:fillRect/>
                    </a:stretch>
                  </pic:blipFill>
                  <pic:spPr>
                    <a:xfrm>
                      <a:off x="0" y="0"/>
                      <a:ext cx="2141072" cy="1256633"/>
                    </a:xfrm>
                    <a:prstGeom prst="rect">
                      <a:avLst/>
                    </a:prstGeom>
                  </pic:spPr>
                </pic:pic>
              </a:graphicData>
            </a:graphic>
          </wp:inline>
        </w:drawing>
      </w:r>
    </w:p>
    <w:p>
      <w:pPr>
        <w:pStyle w:val="4"/>
        <w:spacing w:before="3"/>
        <w:rPr>
          <w:sz w:val="13"/>
        </w:rPr>
      </w:pPr>
    </w:p>
    <w:p>
      <w:pPr>
        <w:rPr>
          <w:sz w:val="13"/>
        </w:rPr>
        <w:sectPr>
          <w:pgSz w:w="15840" w:h="12240" w:orient="landscape"/>
          <w:pgMar w:top="0" w:right="0" w:bottom="280" w:left="0" w:header="720" w:footer="720" w:gutter="0"/>
          <w:cols w:space="720" w:num="1"/>
        </w:sectPr>
      </w:pPr>
    </w:p>
    <w:p>
      <w:pPr>
        <w:pStyle w:val="3"/>
        <w:spacing w:before="101"/>
        <w:ind w:left="722"/>
      </w:pPr>
      <w:r>
        <w:rPr>
          <w:rFonts w:hint="eastAsia" w:ascii="微软雅黑" w:hAnsi="微软雅黑" w:eastAsia="微软雅黑" w:cs="微软雅黑"/>
          <w:color w:val="006394"/>
          <w:w w:val="90"/>
        </w:rPr>
        <w:t>卫生保健</w:t>
      </w:r>
    </w:p>
    <w:p>
      <w:pPr>
        <w:pStyle w:val="4"/>
        <w:spacing w:before="118" w:line="232" w:lineRule="auto"/>
        <w:ind w:left="720" w:right="-8"/>
        <w:rPr>
          <w:rFonts w:hint="eastAsia" w:ascii="微软雅黑" w:hAnsi="微软雅黑" w:eastAsia="微软雅黑" w:cs="微软雅黑"/>
          <w:color w:val="231F20"/>
          <w:lang w:val="en-US" w:eastAsia="zh-CN"/>
        </w:rPr>
      </w:pPr>
      <w:r>
        <w:rPr>
          <w:rFonts w:hint="eastAsia" w:ascii="微软雅黑" w:hAnsi="微软雅黑" w:eastAsia="微软雅黑" w:cs="微软雅黑"/>
          <w:color w:val="231F20"/>
          <w:lang w:val="en-US" w:eastAsia="zh-CN"/>
        </w:rPr>
        <w:t>ABP系列真空干燥设备应用于医院的各类腔镜、显化瓶、手术刀、止血钳、镊子、抽吸装置、麻醉导管、换药管、各种盘子，圆桶、测压器等器械和物品在灭菌前的彻底干燥，达到灭菌前的干燥指标</w:t>
      </w:r>
    </w:p>
    <w:p>
      <w:pPr>
        <w:pStyle w:val="4"/>
        <w:spacing w:before="8"/>
        <w:rPr>
          <w:sz w:val="11"/>
        </w:rPr>
      </w:pPr>
      <w:r>
        <w:rPr>
          <w:lang w:eastAsia="zh-CN" w:bidi="ar-SA"/>
        </w:rPr>
        <w:drawing>
          <wp:anchor distT="0" distB="0" distL="0" distR="0" simplePos="0" relativeHeight="251654144" behindDoc="0" locked="0" layoutInCell="1" allowOverlap="1">
            <wp:simplePos x="0" y="0"/>
            <wp:positionH relativeFrom="page">
              <wp:posOffset>457200</wp:posOffset>
            </wp:positionH>
            <wp:positionV relativeFrom="paragraph">
              <wp:posOffset>114935</wp:posOffset>
            </wp:positionV>
            <wp:extent cx="2147570" cy="1309370"/>
            <wp:effectExtent l="0" t="0" r="1270" b="1270"/>
            <wp:wrapTopAndBottom/>
            <wp:docPr id="1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5.jpeg"/>
                    <pic:cNvPicPr>
                      <a:picLocks noChangeAspect="1"/>
                    </pic:cNvPicPr>
                  </pic:nvPicPr>
                  <pic:blipFill>
                    <a:blip r:embed="rId10" cstate="print"/>
                    <a:stretch>
                      <a:fillRect/>
                    </a:stretch>
                  </pic:blipFill>
                  <pic:spPr>
                    <a:xfrm>
                      <a:off x="0" y="0"/>
                      <a:ext cx="2147542" cy="1309306"/>
                    </a:xfrm>
                    <a:prstGeom prst="rect">
                      <a:avLst/>
                    </a:prstGeom>
                  </pic:spPr>
                </pic:pic>
              </a:graphicData>
            </a:graphic>
          </wp:anchor>
        </w:drawing>
      </w:r>
    </w:p>
    <w:p>
      <w:pPr>
        <w:pStyle w:val="4"/>
        <w:spacing w:before="126" w:line="232" w:lineRule="auto"/>
        <w:ind w:left="720" w:right="-4"/>
      </w:pPr>
      <w:r>
        <w:rPr>
          <w:rFonts w:hint="eastAsia" w:ascii="微软雅黑" w:hAnsi="微软雅黑" w:eastAsia="微软雅黑" w:cs="微软雅黑"/>
          <w:color w:val="231F20"/>
          <w:lang w:val="en-US" w:eastAsia="zh-CN"/>
        </w:rPr>
        <w:t>CCI系列</w:t>
      </w:r>
      <w:r>
        <w:rPr>
          <w:rFonts w:hint="eastAsia" w:ascii="微软雅黑" w:hAnsi="微软雅黑" w:eastAsia="微软雅黑" w:cs="微软雅黑"/>
          <w:color w:val="231F20"/>
        </w:rPr>
        <w:t>烤箱非常适合固化抗划伤和着色所需的光学涂层。</w:t>
      </w:r>
    </w:p>
    <w:p>
      <w:pPr>
        <w:pStyle w:val="4"/>
        <w:spacing w:line="232" w:lineRule="auto"/>
        <w:ind w:left="720" w:right="283"/>
        <w:jc w:val="both"/>
      </w:pPr>
      <w:r>
        <w:rPr>
          <w:rFonts w:hint="eastAsia" w:ascii="微软雅黑" w:hAnsi="微软雅黑" w:eastAsia="微软雅黑" w:cs="微软雅黑"/>
          <w:color w:val="231F20"/>
          <w:spacing w:val="-3"/>
        </w:rPr>
        <w:t>为了固化隐形眼镜，使用氮气氛烘箱来防止镜片变黄。</w:t>
      </w:r>
    </w:p>
    <w:p>
      <w:pPr>
        <w:pStyle w:val="4"/>
        <w:spacing w:before="117" w:line="232" w:lineRule="auto"/>
        <w:ind w:left="720" w:right="-2"/>
      </w:pPr>
      <w:r>
        <w:rPr>
          <w:rFonts w:hint="eastAsia" w:ascii="微软雅黑" w:hAnsi="微软雅黑" w:eastAsia="微软雅黑" w:cs="微软雅黑"/>
          <w:color w:val="231F20"/>
          <w:lang w:val="en-US" w:eastAsia="zh-CN"/>
        </w:rPr>
        <w:t>LBP系列真空烤箱可以在低温的环境中对可吸收类医用缝合线进行水分解析</w:t>
      </w:r>
      <w:r>
        <w:rPr>
          <w:rFonts w:hint="eastAsia" w:ascii="微软雅黑" w:hAnsi="微软雅黑" w:eastAsia="微软雅黑" w:cs="微软雅黑"/>
          <w:color w:val="231F20"/>
        </w:rPr>
        <w:t>。烤箱可以堆叠，允许在小型实验室中进行独立的批处理。这些烤箱可以符合</w:t>
      </w:r>
      <w:r>
        <w:rPr>
          <w:color w:val="231F20"/>
        </w:rPr>
        <w:t>USP</w:t>
      </w:r>
      <w:r>
        <w:rPr>
          <w:rFonts w:hint="eastAsia" w:ascii="微软雅黑" w:hAnsi="微软雅黑" w:eastAsia="微软雅黑" w:cs="微软雅黑"/>
          <w:color w:val="231F20"/>
        </w:rPr>
        <w:t>章节和</w:t>
      </w:r>
      <w:r>
        <w:rPr>
          <w:color w:val="231F20"/>
        </w:rPr>
        <w:t>GMP</w:t>
      </w:r>
      <w:r>
        <w:rPr>
          <w:rFonts w:hint="eastAsia" w:ascii="微软雅黑" w:hAnsi="微软雅黑" w:eastAsia="微软雅黑" w:cs="微软雅黑"/>
          <w:color w:val="231F20"/>
        </w:rPr>
        <w:t>标准。</w:t>
      </w:r>
    </w:p>
    <w:p>
      <w:pPr>
        <w:pStyle w:val="3"/>
        <w:spacing w:before="101"/>
        <w:ind w:left="218"/>
        <w:rPr>
          <w:rFonts w:hint="eastAsia" w:eastAsia="宋体"/>
          <w:lang w:eastAsia="zh-CN"/>
        </w:rPr>
      </w:pPr>
      <w:r>
        <w:rPr>
          <w:b w:val="0"/>
        </w:rPr>
        <w:br w:type="column"/>
      </w:r>
      <w:r>
        <w:rPr>
          <w:rFonts w:hint="eastAsia" w:ascii="微软雅黑" w:hAnsi="微软雅黑" w:eastAsia="微软雅黑" w:cs="微软雅黑"/>
          <w:color w:val="006394"/>
          <w:w w:val="90"/>
          <w:lang w:eastAsia="zh-CN"/>
        </w:rPr>
        <w:t>高新材料</w:t>
      </w:r>
    </w:p>
    <w:p>
      <w:pPr>
        <w:pStyle w:val="4"/>
        <w:spacing w:before="133" w:line="232" w:lineRule="auto"/>
        <w:ind w:left="216" w:right="-7"/>
      </w:pPr>
      <w:r>
        <w:rPr>
          <w:rFonts w:hint="eastAsia" w:ascii="微软雅黑" w:hAnsi="微软雅黑" w:eastAsia="微软雅黑" w:cs="微软雅黑"/>
          <w:color w:val="231F20"/>
        </w:rPr>
        <w:t>材料的热处理是制造优质产品的关键步骤。</w:t>
      </w:r>
      <w:r>
        <w:rPr>
          <w:rFonts w:hint="eastAsia" w:ascii="微软雅黑" w:hAnsi="微软雅黑" w:eastAsia="微软雅黑" w:cs="微软雅黑"/>
          <w:color w:val="231F20"/>
          <w:sz w:val="22"/>
          <w:szCs w:val="22"/>
          <w:lang w:val="en-US" w:eastAsia="zh-CN" w:bidi="en-US"/>
        </w:rPr>
        <w:t>慕溯工业</w:t>
      </w:r>
      <w:r>
        <w:rPr>
          <w:rFonts w:hint="eastAsia" w:ascii="微软雅黑" w:hAnsi="微软雅黑" w:eastAsia="微软雅黑" w:cs="微软雅黑"/>
          <w:color w:val="231F20"/>
          <w:lang w:eastAsia="zh-CN"/>
        </w:rPr>
        <w:t>的</w:t>
      </w:r>
      <w:r>
        <w:rPr>
          <w:rFonts w:hint="eastAsia" w:ascii="微软雅黑" w:hAnsi="微软雅黑" w:eastAsia="微软雅黑" w:cs="微软雅黑"/>
          <w:color w:val="231F20"/>
          <w:lang w:val="en-US" w:eastAsia="zh-CN"/>
        </w:rPr>
        <w:t>UPD系列烤箱可以</w:t>
      </w:r>
      <w:r>
        <w:rPr>
          <w:rFonts w:hint="eastAsia" w:ascii="微软雅黑" w:hAnsi="微软雅黑" w:eastAsia="微软雅黑" w:cs="微软雅黑"/>
          <w:color w:val="231F20"/>
        </w:rPr>
        <w:t>对各种材料进行固化，硬化，干燥和热处理，包括聚合物，复合材料，橡胶和纺织品。</w:t>
      </w:r>
      <w:r>
        <w:rPr>
          <w:rFonts w:hint="eastAsia" w:ascii="微软雅黑" w:hAnsi="微软雅黑" w:eastAsia="微软雅黑" w:cs="微软雅黑"/>
          <w:color w:val="231F20"/>
          <w:lang w:eastAsia="zh-CN"/>
        </w:rPr>
        <w:t>我们</w:t>
      </w:r>
      <w:r>
        <w:rPr>
          <w:rFonts w:hint="eastAsia" w:ascii="微软雅黑" w:hAnsi="微软雅黑" w:eastAsia="微软雅黑" w:cs="微软雅黑"/>
          <w:color w:val="231F20"/>
        </w:rPr>
        <w:t>提供用于复合固化的烤箱和系统。应用包括固化纤维缠绕复合材料，用于轻质压力容器等产品，以及固化风力涡轮机叶片的复合部件。</w:t>
      </w:r>
      <w:r>
        <w:rPr>
          <w:rFonts w:hint="eastAsia" w:ascii="微软雅黑" w:hAnsi="微软雅黑" w:eastAsia="微软雅黑" w:cs="微软雅黑"/>
          <w:color w:val="231F20"/>
          <w:lang w:eastAsia="zh-CN"/>
        </w:rPr>
        <w:t>我们</w:t>
      </w:r>
      <w:r>
        <w:rPr>
          <w:rFonts w:hint="eastAsia" w:ascii="微软雅黑" w:hAnsi="微软雅黑" w:eastAsia="微软雅黑" w:cs="微软雅黑"/>
          <w:color w:val="231F20"/>
        </w:rPr>
        <w:t>航空航天制造商的复合固化系统的成熟供应商。</w:t>
      </w:r>
    </w:p>
    <w:p>
      <w:pPr>
        <w:pStyle w:val="4"/>
        <w:spacing w:before="116" w:line="232" w:lineRule="auto"/>
        <w:ind w:left="216" w:right="-15"/>
      </w:pPr>
      <w:r>
        <w:rPr>
          <w:rFonts w:hint="eastAsia" w:ascii="微软雅黑" w:hAnsi="微软雅黑" w:eastAsia="微软雅黑" w:cs="微软雅黑"/>
          <w:color w:val="231F20"/>
          <w:lang w:val="en-US" w:eastAsia="zh-CN"/>
        </w:rPr>
        <w:t>LAB系列</w:t>
      </w:r>
      <w:r>
        <w:rPr>
          <w:rFonts w:hint="eastAsia" w:ascii="微软雅黑" w:hAnsi="微软雅黑" w:eastAsia="微软雅黑" w:cs="微软雅黑"/>
          <w:color w:val="231F20"/>
        </w:rPr>
        <w:t>实验室烤箱，用于测试和分析沥青，聚合物，复合材料，油漆和其他涂料等材料。测试用于定义材料特性，检测缺陷和故障易感性。</w:t>
      </w:r>
    </w:p>
    <w:p>
      <w:pPr>
        <w:pStyle w:val="4"/>
        <w:spacing w:before="9" w:after="40"/>
        <w:rPr>
          <w:sz w:val="17"/>
        </w:rPr>
      </w:pPr>
    </w:p>
    <w:p>
      <w:pPr>
        <w:pStyle w:val="4"/>
        <w:ind w:left="226"/>
        <w:rPr>
          <w:sz w:val="20"/>
        </w:rPr>
      </w:pPr>
      <w:r>
        <w:rPr>
          <w:sz w:val="20"/>
          <w:lang w:eastAsia="zh-CN" w:bidi="ar-SA"/>
        </w:rPr>
        <w:drawing>
          <wp:inline distT="0" distB="0" distL="0" distR="0">
            <wp:extent cx="2124710" cy="1323975"/>
            <wp:effectExtent l="0" t="0" r="8890" b="1905"/>
            <wp:docPr id="1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jpeg"/>
                    <pic:cNvPicPr>
                      <a:picLocks noChangeAspect="1"/>
                    </pic:cNvPicPr>
                  </pic:nvPicPr>
                  <pic:blipFill>
                    <a:blip r:embed="rId11" cstate="print"/>
                    <a:stretch>
                      <a:fillRect/>
                    </a:stretch>
                  </pic:blipFill>
                  <pic:spPr>
                    <a:xfrm>
                      <a:off x="0" y="0"/>
                      <a:ext cx="2125175" cy="1324356"/>
                    </a:xfrm>
                    <a:prstGeom prst="rect">
                      <a:avLst/>
                    </a:prstGeom>
                  </pic:spPr>
                </pic:pic>
              </a:graphicData>
            </a:graphic>
          </wp:inline>
        </w:drawing>
      </w:r>
    </w:p>
    <w:p>
      <w:pPr>
        <w:pStyle w:val="3"/>
        <w:spacing w:before="101"/>
        <w:rPr>
          <w:rFonts w:hint="eastAsia" w:eastAsia="宋体"/>
          <w:lang w:eastAsia="zh-CN"/>
        </w:rPr>
      </w:pPr>
      <w:r>
        <w:rPr>
          <w:b w:val="0"/>
        </w:rPr>
        <w:br w:type="column"/>
      </w:r>
      <w:r>
        <w:rPr>
          <w:rFonts w:hint="eastAsia" w:ascii="微软雅黑" w:hAnsi="微软雅黑" w:eastAsia="微软雅黑" w:cs="微软雅黑"/>
          <w:color w:val="006394"/>
          <w:w w:val="90"/>
          <w:lang w:eastAsia="zh-CN"/>
        </w:rPr>
        <w:t>汽车及航空航天</w:t>
      </w:r>
    </w:p>
    <w:p>
      <w:pPr>
        <w:pStyle w:val="4"/>
        <w:spacing w:before="133" w:line="232" w:lineRule="auto"/>
        <w:ind w:left="199" w:right="51"/>
      </w:pPr>
      <w:r>
        <w:rPr>
          <w:rFonts w:hint="eastAsia" w:eastAsia="微软雅黑"/>
          <w:color w:val="231F20"/>
          <w:lang w:val="en-US" w:eastAsia="zh-CN"/>
        </w:rPr>
        <w:t>HCT系列</w:t>
      </w:r>
      <w:r>
        <w:rPr>
          <w:rFonts w:hint="eastAsia" w:ascii="微软雅黑" w:hAnsi="微软雅黑" w:eastAsia="微软雅黑" w:cs="微软雅黑"/>
          <w:color w:val="231F20"/>
        </w:rPr>
        <w:t>碳纤维氧化炉和复合固化</w:t>
      </w:r>
      <w:r>
        <w:rPr>
          <w:rFonts w:hint="eastAsia" w:ascii="微软雅黑" w:hAnsi="微软雅黑" w:eastAsia="微软雅黑" w:cs="微软雅黑"/>
          <w:color w:val="231F20"/>
          <w:lang w:eastAsia="zh-CN"/>
        </w:rPr>
        <w:t>烤箱</w:t>
      </w:r>
      <w:r>
        <w:rPr>
          <w:rFonts w:hint="eastAsia" w:ascii="微软雅黑" w:hAnsi="微软雅黑" w:eastAsia="微软雅黑" w:cs="微软雅黑"/>
          <w:color w:val="231F20"/>
        </w:rPr>
        <w:t>提供用于飞机，汽车，船只，火车和公共汽车的材料的热处理。</w:t>
      </w:r>
      <w:r>
        <w:rPr>
          <w:rFonts w:hint="eastAsia" w:ascii="微软雅黑" w:hAnsi="微软雅黑" w:eastAsia="微软雅黑" w:cs="微软雅黑"/>
          <w:color w:val="231F20"/>
          <w:lang w:eastAsia="zh-CN"/>
        </w:rPr>
        <w:t>在这个领域</w:t>
      </w:r>
      <w:r>
        <w:rPr>
          <w:rFonts w:hint="eastAsia" w:ascii="微软雅黑" w:hAnsi="微软雅黑" w:eastAsia="微软雅黑" w:cs="微软雅黑"/>
          <w:color w:val="231F20"/>
          <w:sz w:val="22"/>
          <w:szCs w:val="22"/>
          <w:lang w:val="en-US" w:eastAsia="zh-CN" w:bidi="en-US"/>
        </w:rPr>
        <w:t>慕溯工业</w:t>
      </w:r>
      <w:r>
        <w:rPr>
          <w:rFonts w:hint="eastAsia" w:ascii="微软雅黑" w:hAnsi="微软雅黑" w:eastAsia="微软雅黑" w:cs="微软雅黑"/>
          <w:color w:val="231F20"/>
        </w:rPr>
        <w:t>与</w:t>
      </w:r>
      <w:r>
        <w:rPr>
          <w:rFonts w:hint="eastAsia" w:ascii="微软雅黑" w:hAnsi="微软雅黑" w:eastAsia="微软雅黑" w:cs="微软雅黑"/>
          <w:color w:val="231F20"/>
          <w:lang w:eastAsia="zh-CN"/>
        </w:rPr>
        <w:t>众多</w:t>
      </w:r>
      <w:r>
        <w:rPr>
          <w:rFonts w:hint="eastAsia" w:ascii="微软雅黑" w:hAnsi="微软雅黑" w:eastAsia="微软雅黑" w:cs="微软雅黑"/>
          <w:color w:val="231F20"/>
        </w:rPr>
        <w:t>航空航天</w:t>
      </w:r>
      <w:r>
        <w:rPr>
          <w:rFonts w:hint="eastAsia" w:ascii="微软雅黑" w:hAnsi="微软雅黑" w:eastAsia="微软雅黑" w:cs="微软雅黑"/>
          <w:color w:val="231F20"/>
          <w:lang w:eastAsia="zh-CN"/>
        </w:rPr>
        <w:t>公司，科研机构，高等院校</w:t>
      </w:r>
      <w:r>
        <w:rPr>
          <w:rFonts w:hint="eastAsia" w:ascii="微软雅黑" w:hAnsi="微软雅黑" w:eastAsia="微软雅黑" w:cs="微软雅黑"/>
          <w:color w:val="231F20"/>
        </w:rPr>
        <w:t>合作提供热处理解决方案的历史悠久。</w:t>
      </w:r>
      <w:r>
        <w:rPr>
          <w:rFonts w:hint="eastAsia" w:ascii="微软雅黑" w:hAnsi="微软雅黑" w:eastAsia="微软雅黑" w:cs="微软雅黑"/>
          <w:color w:val="231F20"/>
          <w:sz w:val="22"/>
          <w:szCs w:val="22"/>
          <w:lang w:val="en-US" w:eastAsia="zh-CN" w:bidi="en-US"/>
        </w:rPr>
        <w:t>慕溯工业</w:t>
      </w:r>
      <w:r>
        <w:rPr>
          <w:rFonts w:hint="eastAsia" w:ascii="微软雅黑" w:hAnsi="微软雅黑" w:eastAsia="微软雅黑" w:cs="微软雅黑"/>
          <w:color w:val="231F20"/>
        </w:rPr>
        <w:t>在这个市场上的</w:t>
      </w:r>
      <w:r>
        <w:rPr>
          <w:rFonts w:hint="eastAsia" w:ascii="微软雅黑" w:hAnsi="微软雅黑" w:eastAsia="微软雅黑" w:cs="微软雅黑"/>
          <w:color w:val="231F20"/>
          <w:lang w:eastAsia="zh-CN"/>
        </w:rPr>
        <w:t>知</w:t>
      </w:r>
      <w:r>
        <w:rPr>
          <w:rFonts w:hint="eastAsia" w:ascii="微软雅黑" w:hAnsi="微软雅黑" w:eastAsia="微软雅黑" w:cs="微软雅黑"/>
          <w:color w:val="231F20"/>
        </w:rPr>
        <w:t>识是广泛的，我们对生产高性能，先进材料所需的严格的温度均匀性和气流要求有透彻的了解。</w:t>
      </w:r>
    </w:p>
    <w:p>
      <w:pPr>
        <w:pStyle w:val="4"/>
        <w:spacing w:before="10" w:after="1"/>
        <w:rPr>
          <w:sz w:val="17"/>
        </w:rPr>
      </w:pPr>
    </w:p>
    <w:p>
      <w:pPr>
        <w:pStyle w:val="4"/>
        <w:ind w:left="199" w:right="-72"/>
        <w:rPr>
          <w:sz w:val="20"/>
        </w:rPr>
      </w:pPr>
      <w:r>
        <w:rPr>
          <w:sz w:val="20"/>
          <w:lang w:eastAsia="zh-CN" w:bidi="ar-SA"/>
        </w:rPr>
        <w:drawing>
          <wp:inline distT="0" distB="0" distL="0" distR="0">
            <wp:extent cx="2184400" cy="1433195"/>
            <wp:effectExtent l="0" t="0" r="10160" b="14605"/>
            <wp:docPr id="17"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jpeg"/>
                    <pic:cNvPicPr>
                      <a:picLocks noChangeAspect="1"/>
                    </pic:cNvPicPr>
                  </pic:nvPicPr>
                  <pic:blipFill>
                    <a:blip r:embed="rId12" cstate="print"/>
                    <a:stretch>
                      <a:fillRect/>
                    </a:stretch>
                  </pic:blipFill>
                  <pic:spPr>
                    <a:xfrm>
                      <a:off x="0" y="0"/>
                      <a:ext cx="2184966" cy="1433195"/>
                    </a:xfrm>
                    <a:prstGeom prst="rect">
                      <a:avLst/>
                    </a:prstGeom>
                  </pic:spPr>
                </pic:pic>
              </a:graphicData>
            </a:graphic>
          </wp:inline>
        </w:drawing>
      </w:r>
    </w:p>
    <w:p>
      <w:pPr>
        <w:pStyle w:val="4"/>
        <w:spacing w:before="206" w:line="232" w:lineRule="auto"/>
        <w:ind w:left="199" w:right="366"/>
      </w:pPr>
      <w:r>
        <w:rPr>
          <w:rFonts w:hint="eastAsia" w:ascii="微软雅黑" w:hAnsi="微软雅黑" w:eastAsia="微软雅黑" w:cs="微软雅黑"/>
          <w:color w:val="231F20"/>
          <w:sz w:val="22"/>
          <w:szCs w:val="22"/>
          <w:lang w:val="en-US" w:eastAsia="zh-CN" w:bidi="en-US"/>
        </w:rPr>
        <w:t>慕溯工业</w:t>
      </w:r>
      <w:r>
        <w:rPr>
          <w:rFonts w:hint="eastAsia" w:ascii="微软雅黑" w:hAnsi="微软雅黑" w:eastAsia="微软雅黑" w:cs="微软雅黑"/>
          <w:color w:val="231F20"/>
        </w:rPr>
        <w:t>使用先进的软件来完全控制过程</w:t>
      </w:r>
      <w:r>
        <w:rPr>
          <w:rFonts w:hint="eastAsia" w:ascii="微软雅黑" w:hAnsi="微软雅黑" w:eastAsia="微软雅黑" w:cs="微软雅黑"/>
          <w:color w:val="231F20"/>
          <w:lang w:eastAsia="zh-CN"/>
        </w:rPr>
        <w:t>和生产工艺</w:t>
      </w:r>
      <w:r>
        <w:rPr>
          <w:rFonts w:hint="eastAsia" w:ascii="微软雅黑" w:hAnsi="微软雅黑" w:eastAsia="微软雅黑" w:cs="微软雅黑"/>
          <w:color w:val="231F20"/>
        </w:rPr>
        <w:t>并记录所有过程信息，提供零件质量的可追溯性和验证。</w:t>
      </w:r>
    </w:p>
    <w:p>
      <w:pPr>
        <w:pStyle w:val="3"/>
        <w:spacing w:before="101"/>
      </w:pPr>
      <w:r>
        <w:rPr>
          <w:b w:val="0"/>
        </w:rPr>
        <w:br w:type="column"/>
      </w:r>
      <w:r>
        <w:rPr>
          <w:rFonts w:hint="eastAsia" w:ascii="微软雅黑" w:hAnsi="微软雅黑" w:eastAsia="微软雅黑" w:cs="微软雅黑"/>
          <w:color w:val="006394"/>
          <w:w w:val="90"/>
          <w:lang w:eastAsia="zh-CN"/>
        </w:rPr>
        <w:t>化工</w:t>
      </w:r>
      <w:r>
        <w:rPr>
          <w:rFonts w:hint="eastAsia" w:ascii="微软雅黑" w:hAnsi="微软雅黑" w:eastAsia="微软雅黑" w:cs="微软雅黑"/>
          <w:color w:val="006394"/>
          <w:w w:val="90"/>
        </w:rPr>
        <w:t>产业</w:t>
      </w:r>
    </w:p>
    <w:p>
      <w:pPr>
        <w:pStyle w:val="4"/>
        <w:spacing w:before="133" w:line="232" w:lineRule="auto"/>
        <w:ind w:left="200" w:right="768"/>
      </w:pPr>
      <w:r>
        <w:rPr>
          <w:rFonts w:hint="eastAsia" w:ascii="微软雅黑" w:hAnsi="微软雅黑" w:eastAsia="微软雅黑" w:cs="微软雅黑"/>
          <w:color w:val="231F20"/>
          <w:lang w:val="en-US" w:eastAsia="zh-CN"/>
        </w:rPr>
        <w:t>GIR系列</w:t>
      </w:r>
      <w:r>
        <w:rPr>
          <w:rFonts w:hint="eastAsia" w:ascii="微软雅黑" w:hAnsi="微软雅黑" w:eastAsia="微软雅黑" w:cs="微软雅黑"/>
          <w:color w:val="231F20"/>
        </w:rPr>
        <w:t>烤箱用于固化涂漆，干燥溶剂和水，以及退火塑料和金属。无论应用需要批量处理还是连续处理，</w:t>
      </w:r>
      <w:r>
        <w:rPr>
          <w:rFonts w:hint="eastAsia" w:ascii="微软雅黑" w:hAnsi="微软雅黑" w:eastAsia="微软雅黑" w:cs="微软雅黑"/>
          <w:color w:val="231F20"/>
          <w:lang w:eastAsia="zh-CN"/>
        </w:rPr>
        <w:t>慕溯工业</w:t>
      </w:r>
      <w:r>
        <w:rPr>
          <w:rFonts w:hint="eastAsia" w:ascii="微软雅黑" w:hAnsi="微软雅黑" w:eastAsia="微软雅黑" w:cs="微软雅黑"/>
          <w:color w:val="231F20"/>
        </w:rPr>
        <w:t>都能提供最高品质的烤箱和炉子，具有出色的温度均匀性和耐用性，能够承受工业制造环境的严苛要求。</w:t>
      </w:r>
    </w:p>
    <w:p>
      <w:pPr>
        <w:pStyle w:val="4"/>
        <w:spacing w:before="8"/>
        <w:rPr>
          <w:sz w:val="10"/>
        </w:rPr>
      </w:pPr>
    </w:p>
    <w:p>
      <w:pPr>
        <w:pStyle w:val="4"/>
        <w:ind w:left="200"/>
        <w:rPr>
          <w:sz w:val="20"/>
        </w:rPr>
      </w:pPr>
      <w:r>
        <w:rPr>
          <w:sz w:val="20"/>
          <w:lang w:eastAsia="zh-CN" w:bidi="ar-SA"/>
        </w:rPr>
        <w:drawing>
          <wp:inline distT="0" distB="0" distL="0" distR="0">
            <wp:extent cx="2160270" cy="1323975"/>
            <wp:effectExtent l="0" t="0" r="3810" b="1905"/>
            <wp:docPr id="19"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jpeg"/>
                    <pic:cNvPicPr>
                      <a:picLocks noChangeAspect="1"/>
                    </pic:cNvPicPr>
                  </pic:nvPicPr>
                  <pic:blipFill>
                    <a:blip r:embed="rId13" cstate="print"/>
                    <a:stretch>
                      <a:fillRect/>
                    </a:stretch>
                  </pic:blipFill>
                  <pic:spPr>
                    <a:xfrm>
                      <a:off x="0" y="0"/>
                      <a:ext cx="2160553" cy="1324356"/>
                    </a:xfrm>
                    <a:prstGeom prst="rect">
                      <a:avLst/>
                    </a:prstGeom>
                  </pic:spPr>
                </pic:pic>
              </a:graphicData>
            </a:graphic>
          </wp:inline>
        </w:drawing>
      </w:r>
    </w:p>
    <w:p>
      <w:pPr>
        <w:pStyle w:val="4"/>
        <w:spacing w:before="179" w:line="232" w:lineRule="auto"/>
        <w:ind w:left="200" w:right="769"/>
      </w:pPr>
      <w:r>
        <w:rPr>
          <w:rFonts w:hint="eastAsia" w:ascii="微软雅黑" w:hAnsi="微软雅黑" w:eastAsia="微软雅黑" w:cs="微软雅黑"/>
          <w:color w:val="231F20"/>
        </w:rPr>
        <w:t>石油和天然气行业依靠</w:t>
      </w:r>
      <w:r>
        <w:rPr>
          <w:rFonts w:hint="eastAsia" w:ascii="微软雅黑" w:hAnsi="微软雅黑" w:eastAsia="微软雅黑" w:cs="微软雅黑"/>
          <w:color w:val="231F20"/>
          <w:lang w:eastAsia="zh-CN"/>
        </w:rPr>
        <w:t>慕溯工业烤箱</w:t>
      </w:r>
      <w:r>
        <w:rPr>
          <w:rFonts w:hint="eastAsia" w:ascii="微软雅黑" w:hAnsi="微软雅黑" w:eastAsia="微软雅黑" w:cs="微软雅黑"/>
          <w:color w:val="231F20"/>
        </w:rPr>
        <w:t>进行井下电子测井设备的老化和性能鉴定测试。典型的过程包括模拟井下，油井钻井条件以校准工具。</w:t>
      </w:r>
      <w:r>
        <w:rPr>
          <w:rFonts w:hint="eastAsia" w:ascii="微软雅黑" w:hAnsi="微软雅黑" w:eastAsia="微软雅黑" w:cs="微软雅黑"/>
          <w:color w:val="231F20"/>
          <w:lang w:eastAsia="zh-CN"/>
        </w:rPr>
        <w:t>慕溯工业</w:t>
      </w:r>
      <w:r>
        <w:rPr>
          <w:rFonts w:hint="eastAsia" w:ascii="微软雅黑" w:hAnsi="微软雅黑" w:eastAsia="微软雅黑" w:cs="微软雅黑"/>
          <w:color w:val="231F20"/>
        </w:rPr>
        <w:t>为不断增长的燃料电池和储能行业提供热处理设备。</w:t>
      </w:r>
      <w:r>
        <w:rPr>
          <w:rFonts w:hint="eastAsia" w:ascii="微软雅黑" w:hAnsi="微软雅黑" w:eastAsia="微软雅黑" w:cs="微软雅黑"/>
          <w:color w:val="231F20"/>
          <w:lang w:eastAsia="zh-CN"/>
        </w:rPr>
        <w:t>慕溯工业</w:t>
      </w:r>
      <w:r>
        <w:rPr>
          <w:rFonts w:hint="eastAsia" w:ascii="微软雅黑" w:hAnsi="微软雅黑" w:eastAsia="微软雅黑" w:cs="微软雅黑"/>
          <w:color w:val="231F20"/>
        </w:rPr>
        <w:t>与</w:t>
      </w:r>
      <w:r>
        <w:rPr>
          <w:rFonts w:hint="eastAsia" w:ascii="微软雅黑" w:hAnsi="微软雅黑" w:eastAsia="微软雅黑" w:cs="微软雅黑"/>
          <w:color w:val="231F20"/>
          <w:lang w:eastAsia="zh-CN"/>
        </w:rPr>
        <w:t>众多</w:t>
      </w:r>
      <w:r>
        <w:rPr>
          <w:rFonts w:hint="eastAsia" w:ascii="微软雅黑" w:hAnsi="微软雅黑" w:eastAsia="微软雅黑" w:cs="微软雅黑"/>
          <w:color w:val="231F20"/>
        </w:rPr>
        <w:t>行业参与者合作，在全球范围内提供设备。</w:t>
      </w:r>
    </w:p>
    <w:p>
      <w:pPr>
        <w:spacing w:line="232" w:lineRule="auto"/>
        <w:sectPr>
          <w:type w:val="continuous"/>
          <w:pgSz w:w="15840" w:h="12240" w:orient="landscape"/>
          <w:pgMar w:top="1140" w:right="0" w:bottom="280" w:left="0" w:header="720" w:footer="720" w:gutter="0"/>
          <w:cols w:equalWidth="0" w:num="4">
            <w:col w:w="4124" w:space="40"/>
            <w:col w:w="3637" w:space="39"/>
            <w:col w:w="3620" w:space="40"/>
            <w:col w:w="4340"/>
          </w:cols>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344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Calibri" w:hAnsi="Calibri" w:eastAsia="Calibri" w:cs="Calibri"/>
      <w:sz w:val="22"/>
      <w:szCs w:val="22"/>
      <w:lang w:val="en-US" w:eastAsia="en-US" w:bidi="en-US"/>
    </w:rPr>
  </w:style>
  <w:style w:type="paragraph" w:styleId="2">
    <w:name w:val="heading 4"/>
    <w:basedOn w:val="1"/>
    <w:next w:val="1"/>
    <w:qFormat/>
    <w:uiPriority w:val="1"/>
    <w:pPr>
      <w:ind w:left="1104"/>
      <w:outlineLvl w:val="3"/>
    </w:pPr>
    <w:rPr>
      <w:sz w:val="28"/>
      <w:szCs w:val="28"/>
    </w:rPr>
  </w:style>
  <w:style w:type="paragraph" w:styleId="3">
    <w:name w:val="heading 6"/>
    <w:basedOn w:val="1"/>
    <w:next w:val="1"/>
    <w:qFormat/>
    <w:uiPriority w:val="1"/>
    <w:pPr>
      <w:ind w:left="202"/>
      <w:outlineLvl w:val="5"/>
    </w:pPr>
    <w:rPr>
      <w:b/>
      <w:bCs/>
      <w:sz w:val="24"/>
      <w:szCs w:val="24"/>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Body Text"/>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2019-06-05T00:01:07Z</dcterms:created>
  <dc:creator>Administrator</dc:creator>
  <cp:lastModifiedBy>邻城酒肆</cp:lastModifiedBy>
  <dcterms:modified xsi:type="dcterms:W3CDTF">2019-06-05T00:01:30Z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